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MEGÁLLAPODÁS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átmeneti elhelyezést nyújtó intézményre vonatkozóan</w:t>
      </w:r>
    </w:p>
    <w:p w:rsidR="00020FAB" w:rsidRDefault="00020FAB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 megállapodást kötő Felek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létrejött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az ellátást nyújtó intézmény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az ellátást igénybe vevő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az ellátást igénybe vevő törvényes képviselője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az ellátást igénybe vevő megnevezett hozzátartozói között.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1.1 Az ellátást nyújtó </w:t>
      </w:r>
      <w:r>
        <w:rPr>
          <w:rFonts w:ascii="TimesNewRomanPSMT" w:hAnsi="TimesNewRomanPSMT" w:cs="TimesNewRomanPSMT"/>
          <w:color w:val="000000"/>
          <w:sz w:val="24"/>
          <w:szCs w:val="24"/>
        </w:rPr>
        <w:t>(továbbiakban: Intézmény)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neve: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Veszprém Megyei Fogyatékos Személyek, Pszichiátriai és</w:t>
      </w:r>
      <w:r w:rsidR="0063483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Szenvedélybetegek Integrált Intézménye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Ágazati azonosító: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S0002860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címe: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8592 Dáka, Dózsa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Gy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u. 80.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Képviselője neve, beosztása: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Hanich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Ferenc intézményvezető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intézményt fenntartó neve: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Szociális és Gyermekvédelmi Főigazgatóság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intézményt fenntartó címe: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1132 Budapest, Visegrádi u. 49.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Képviselője neve, beosztása: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r w:rsidR="00020F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enedek István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Zsolt f</w:t>
      </w:r>
      <w:r w:rsidR="00446681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őigazgató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1.2. Az ellátást igénybe vevő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Állampolgársága: ……………………………………………………………………………….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Jogállása 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bevándorolt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letelepedett, menekült, hontalan):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helye, ideje: …………………………………………………………………………...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állandó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:…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…..………………………………………………………………………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ideiglenes:…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………………………………………………………………………..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hely: 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cím: …………………………………………………………………………………...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TAJ száma: ……………………………………………………………………………………...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Az ellátást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igénybevevő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gondnokság alatt áll-e: igen – nem </w:t>
      </w:r>
      <w:r>
        <w:rPr>
          <w:rFonts w:ascii="TimesNewRomanPSMT" w:hAnsi="TimesNewRomanPSMT" w:cs="TimesNewRomanPSMT"/>
          <w:color w:val="000000"/>
          <w:sz w:val="24"/>
          <w:szCs w:val="24"/>
        </w:rPr>
        <w:t>(a megfelelő rész aláhúzandó)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 gondnokság alatt áll, annak foka</w:t>
      </w:r>
      <w:r>
        <w:rPr>
          <w:rFonts w:ascii="TimesNewRomanPSMT" w:hAnsi="TimesNewRomanPSMT" w:cs="TimesNewRomanPSMT"/>
          <w:color w:val="000000"/>
          <w:sz w:val="24"/>
          <w:szCs w:val="24"/>
        </w:rPr>
        <w:t>: cselekvőképességében részlegesen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korlátozott/cselekvőképességében teljesen korlátozott (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A megfelelő rész aláhúzandó!</w:t>
      </w:r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 3. Az ellátást igénybe vevő törvényes képviselője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Kirendelő szerv megnevezése: 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Kirendelő határozat száma, kelte, 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cím: …………………………………………………………………………………...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Tel./egyéb elérhetőség: 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1.4. Az ellátást igénybe vevő megnevezett hozzátartozói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…………………………………………………………………………………………....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helye: ………………………………………ideje: 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 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Telefonszáma: 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Egyéb elérhetősége: 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Anyja neve: 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helye: ………………………………………ideje: 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Lakcíme: 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Egyéb elérhetősége: …………………………………………………………………………….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1.5. Az ellátást igénylő nagykorú gyermeke(i)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Neve: 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Születési neve: 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Telefonszáma: ……………………………………………………………………………….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Lakóhelye: ……………………………………………………………………………………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Tartózkodási helye: 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Értesítési címe: 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575CFA" w:rsidRDefault="00575CF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2. A megállapodás tárgya</w:t>
      </w:r>
    </w:p>
    <w:p w:rsidR="00575CFA" w:rsidRDefault="00575CFA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az ellátást igénybe vevő részére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.…….szám alatt személyes gondoskodás körébe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tartozó, szakosított ellátást – átmeneti elhelyezést nyújt, Fogyatékos Személyek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Gondozóházában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vonatkozó jogszabályok szerint. Ettől eltérő szolgáltatás biztosítására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külön szerződést kell kötni.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II.2.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 helyét a részlegvezető jelöli ki a 2.1 pontban megjelölt ingatlanban.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Az intézmény által biztosított szoba alapbútorzattal ellátott.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 tudomásul veszi, hogy nem kizárólagos használója a számára kijelölt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szobának és a mellék- és közösségi helyiségeknek, azt más ellátottakkal is meg kell osztania.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 házastársával/hozzátartozójával közösen kerül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elhelyezésre a szobában, az intézmény jogosult a házastárs/hozzátartozó elhunyta esetén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ellátást igénybe vevőt másik szobába áthelyezni, valamint jogosult másik személyt is 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szobában elhelyezni.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átmeneti intézményi elhelyezés esetén, az ellátást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……év………………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.hónap…….napjától kezdődően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határozott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.év…………………….hónap………napjáig terjedő)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időtartamra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szólóan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biztosítja.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 szociális igazgatásról és szociális ellátásokról szóló 1993. évi III. törvény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szerint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teljes körű ellátást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biztosít, amelyet részletesen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1. pontja tartalmaz.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2.5.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megállapodás aláírásának időpontjában az alábbi iratok kerültek átadásra: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születési anyakönyvi kivonat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házassági anyakönyvi kivonat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 személyi igazolvány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lakcímigazoló kártya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gondnokkirendelő határozat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saját tulajdonú ház tulajdoni lapja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Társadalmi Azonosító Jelet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(TAJ számot) tartalmazó hatósági igazolvány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értesítés a tárgyévi nyugdíj és nyugdíjszerű ellátásról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valamennyi jövedelméről szóló igazolás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közgyógyellátási igazolvány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 tartási/ öröklési szerződés fénymásolata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gyermektartási kötelezettség esetén a határozat másolata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adóigazolvány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3 hónapnál nem régebbi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tüdő és székletbakteriológiai eredmény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háziorvosi igazolás, hogy közösségbe mehet igen nem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Ezen iratok bemutatása az együttműködési kötelezettség körébe tartozik. Az iratok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hiánypótlása a kérelmező, a kérelmező törvényes képviselője, továbbá a kérelmező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hozzátartozójának a kötelessége. A hiányzó adatok miatti korlátozott ügykezelésért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intézményt felelősség nem terheli.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 Felek jogai és kötelezettségei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3.1. Felek tájékoztatási kötelezettsége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vagy törvényes képviselője, illetve az ellátott által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megnevezett hozzátartozója kijelenti és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aláírásával elismeri, hogy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 való felvételkor az intézmény tájékoztatást nyújtott (Sztv. 96.§ (1))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által vezetett nyilvántartásokról,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intézményben biztosított ellátás tartalmáról és feltételeiről,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bentlakásos intézményi elhelyezéskor a jogosult és hozzátartozói között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kapcsolattartás, különösen a látogatás, a távozás és visszatérés rendjéről,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panaszjoguk gyakorlásának módjáról,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intézményi jogviszony megszűnésének eseteiről,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házirendjéről, amelynek egy példánya az ellátást igénybe vevő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részére átadásra került,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fizetendő térítési díjról, teljesítési feltételeiről, továbbá a mulasztás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következményeiről,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jogait és érdekeit képviselő társadalmi szervezetekről.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és hozzátartozója az intézménybe való felvételkor köteles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nyilatkozni a 3.1.1. pontban leírt tájékoztatásban foglaltak tudomásul vételéről és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tiszteletben tartásáról,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adatokat szolgáltatni az 1993. évi III. törvény által előírt nyilvántartásokhoz,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nyilatkozni arról, hogy a szociális ellátásra való jogosultság, továbbá a közeli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hozzátartozója természetes személyazonosító adataiban beállott változásokat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haladéktalanul közli az intézmény vezetőjével,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vezetője, vagy az általa megbízott személy köteles értesíteni, illetve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tájékoztatni az ellátást igénybe vevőt, ill. törvényes képviselőjét és az általa megjelölt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hozzátartozóját.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állapotáról, annak lényeges változásáról,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egészségügyi intézménybe való beutalásáról,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 biztosításában felmerült akadályoztatásról, az ellátás ideiglenes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szüneteltetéséről,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áthelyezés kezdeményezéséről, illetőleg kérelmezéséről,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díjfizetési hátralék következményeiről, valamint a behajtás érdekében tett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intézkedéséről.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3.1.4.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köteles gondoskodni az intézményi alkalmazottak titoktartási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kötelezettségének megtartásáról, és az ellátást igénybe vevő személyiségi jogainak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tiszteletben tartásáról.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3.2. A szabad mozgás és a kapcsolattartás joga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3.2.1.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vevőnek joga van az intézményen belüli és az intézményen kívüli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szabad mozgásra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rögzített kimenőre és szabadságra vonatkozó előírások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szerint, figyelemmel a saját és társai nyugalmára, biztonságára. Az ellátást igénybe vevő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kijelenti és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aláírásával igazolja, hogy az igénybevételi eljárás során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részletes és pontos tájékoztatást kapott az intézményen belüli mozgás, valamint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intézményből történő eltávozás és visszatérés – az intézmény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jében meghatározott –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szabályairól.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3.2.2.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vevőnek joga van családi kapcsolatainak fenntartására, rokonok,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látogatók fogadására,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szabályozott módon. A látogatók fogadása során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figyelemmel kell lenni az intézményben élő más személyek nyugalmára.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4. Ellátottjogi képviselő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4.1.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ellátottjogi képviselő az ellátást igénybe vevő részére nyújt segítséget jogai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gyakorlásában. Feladatai – különösen – az alábbiak: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megkeresésre, illetve saját kezdeményezésre tájékoztatást nyújthat az ellátást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igénybe vevőt érintő legfontosabb alapjogok tekintetében,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kötelezettségeiről és az ellátást igénybe vevőt érintő jogokról,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segíti az ellátást igénybe vevőt, törvényes képviselőjét az ellátással kapcsolatos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kérdések, problémák megoldásában, szükség esetén segítséget nyújt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 az ellátást igénybe vevő között kialakult konfliktus megoldásában,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 az ellátást igénybe vevőnek, törvényes képviselőjének panasza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megfogalmazásában, kezdeményezheti annak kivizsgálását az intézmény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vezetőjénél és fenntartójánál, segítséget nyújt a hatóságokhoz benyújtandó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kérelmek, beadványok megfogalmazásában,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jogviszony keletkezése és megszűnése, továbbá az áthelyezés kivételével eljárhat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intézményi ellátással kapcsolatosan az intézmény vezetőjénél, fenntartójánál,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illetve az arra illetékes hatóságnál, és ennek során – írásbeli megfogalmazás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alapján – képviselheti az ellátást igénybe vevőt, törvényes képviselőjét,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vezetőjével történt előzetes egyeztetés alapján tájékoztatja a szociális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intézményekben foglalkoztatottakat az ellátottak jogairól, továbbá ezen jogok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érvényesüléséről és a figyelembevételéről a szakmai munka során,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intézkedést kezdeményezhet a fenntartónál a jogszabály sértő gyakorlat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megszűntetésére,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észrevételt tehet az intézményben folytatott gondozási munkára vonatkozóan az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vezetőjénél, amennyiben az ellátottak meghatározott körét érintő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jogsértés fennállását észleli intézkedés megtételét kezdeményezheti a hatáskörrel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 illetékességgel rendelkező hatóságok felé,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korlátozó intézkedésekre, eljárásokra vonatkozó dokumentációt megvizsgálhatja.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Ellátottjogi képviselő neve: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Csetényi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-Guba Mária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Munkaidőben elérhető telefonszáma: 06/20/489- 9592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E-mail: </w:t>
      </w:r>
      <w:hyperlink r:id="rId4" w:history="1">
        <w:r w:rsidR="0063483A" w:rsidRPr="004A623F">
          <w:rPr>
            <w:rStyle w:val="Hiperhivatkozs"/>
            <w:rFonts w:ascii="TimesNewRomanPSMT" w:hAnsi="TimesNewRomanPSMT" w:cs="TimesNewRomanPSMT"/>
            <w:sz w:val="24"/>
            <w:szCs w:val="24"/>
          </w:rPr>
          <w:t>csetenyi.maria@obdk.hu</w:t>
        </w:r>
      </w:hyperlink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Levelezési cím: 1365 Budapest,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 646.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 Az intézmény szolgáltatásai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átmeneti elhelyezést nyújtó intézményi ellátásra legfeljebb egy évig kerül sor. Az egy év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elteltét megelőzően az intézmény vezetője megvizsgálja, hogy az ellátást igénybe vevő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családi környezetébe visszahelyezhető-e, illetve ellátása személyes gondoskodás útján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biztosítható e. Amennyiben az ellátást igénybe vevő családi környezetébe nem helyezhető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vissza, az intézmény vezetője az ellátás időtartamát további egy évvel meghosszabbítja.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5.1. Szolgáltatások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a Szt. 80.§-a értelmében biztosítja: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napi huszonnégy órás szolgálatot,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lakhatást, valamint a folyamatos fűtés- és melegvíz-szolgáltatást, világítást,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napi legalább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ötszöri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étkeztetést, melyből legalább egy alkalommal meleg ételt,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orvosi javaslatra, az orvos előírásainak megfelelő étkezési lehetőségeket (pl.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diéta), amennyiben azt az ellátást igénybe vevő egészségi állapota indokolja,</w:t>
      </w:r>
    </w:p>
    <w:p w:rsidR="0063483A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az intézményben saját ruházatát és textíliáját használja.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az ellátott megfelelő mennyiségű és minőségű saját ruházattal nem rendelkezik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teljes körű ellátás részeként nyújtott ruházat legalább három váltás fehérneműt és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hálóruhát, valamint az évszaknak megfelelő legalább két váltás felső ruházatot és</w:t>
      </w:r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utcai cipőt – szükség szerint más lábbelit – tartalmaz. Továbbá az 1/2000.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SzCsM</w:t>
      </w:r>
      <w:proofErr w:type="spellEnd"/>
      <w:r w:rsidR="0063483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rendelet 49. §-a értelmében három váltás </w:t>
      </w: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ágyneműt, a tisztálkodást segítő három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váltás textíliát, valamint a tisztálkodáshoz szükséges anyagokat, eszközöket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szükség szerint biztosítja.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ruházat, illetve textília tisztítását és javítását 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Házirend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 meghatározott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módon,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egészségügyi ellátást, melynek keretében gondoskodik az ellátást igénybe vevő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egészségmegőrzését szolgáló felvilágosításáról, orvosi ellátásáról, szükség szerinti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alapápolásáról, az otthoni szakápolási tevékenységről szóló 20/1996. (VII.26.) NM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rendeletben meghatározott szakápolási tevékenységek kivételével, ennek körében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különösen a személyi higiéné biztosításáról,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gyógyszerezésről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az étkezésben,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folyadékpótlásban, a hely- és helyzetváltoztatásban, valamint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kontinenciában</w:t>
      </w:r>
      <w:proofErr w:type="spellEnd"/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való segítségnyújtásról, a szakorvosi, illetve sürgősségi ellátásához való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hozzájutásáról, kórházi kezeléséhez való hozzájutásáról, e rendeletben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 gyógyszerellátásáról.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intézményünk térítésmentesen az 1/2000. (I.7.)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SzCsM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rendelet 52.§ (2) pontjában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 gyógyszercsoportokból a háziorvos, kezelőorvos javaslata alapján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egyféle gyógyszert biztosít térítésmentesen, amely azonban havonta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felülvizsgálatra kerül. Az alapgyógyszerkészlet aktuális listájának egy példánya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Megállapodás aláírásával egyidejűleg 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részére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átadásra került.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egészségügyi ellátás keretében az intézmény az alapgyógyszerkészletbe,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valamint a rendszeres és eseti egyéni gyógyszerszükséglet körébe tartozó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gyógyszerek, közül elsősorban a közgyógyellátási igazolványra felírható, illetve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társadalombiztosítás által támogatott gyógyszert biztosítja.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költségén az alapgyógyszerkészlet körébe tartozó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gyógyszereken túlmenően felmerülő egyéni gyógyszerszükséglet költségét.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mentálhigiénés ellátását, melynek keretében biztosítja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többek között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személyre szabott bánásmódot,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konfliktushelyzetek kialakulásának megelőzése érdekében az egyéni,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csoportos megbeszélést,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szabadidő kulturált eltöltésének feltételeit,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ellátottak családi és társadalmi kapcsolatai fenntartásának feltételeit,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gondozási, illetve rehabilitációs tervek megvalósítását,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hitélet gyakorlásának feltételeit, és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" w:hAnsi="CourierNew" w:cs="CourierNew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>segíti, támogatja az intézményen belüli kis közösségek, társas kapcsolatok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kialakulását és működését.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az ellátottak meglévő képességeinek szinten tartása és fejlesztése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érdekében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szocioterápiás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foglalkozásokat szervez.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korának, egészégi állapotának, képességeinek és egyéni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adottságainak figyelembevételével szervezünk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aktivitást segítő fizikai tevékenységeket,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szellemi, szórakoztató tevékenységeket,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kulturális tevékenységeket.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Alapfeladatot meghaladóan is szervez az intézmény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programokat (rendezvények, kirándulások),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szolgáltatásokat (pl. fodrászat), amelyekért a házirendben szabályozott módon kell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térítést fizetni.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 vonatkozó jogszabályokban előírt feltételeken túli szolgáltatások, átlagos feltételeket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meghaladó ellátotti igények költségeit az intézmény nem viseli, erre külön szerződés köthető.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5.2. Az érték- és vagyonmegőrzés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5.2.1</w:t>
      </w:r>
      <w:r>
        <w:rPr>
          <w:rFonts w:ascii="TimesNewRomanPSMT" w:hAnsi="TimesNewRomanPSMT" w:cs="TimesNewRomanPSMT"/>
          <w:color w:val="000000"/>
          <w:sz w:val="24"/>
          <w:szCs w:val="24"/>
        </w:rPr>
        <w:t>. Az intézmény nem korlátozhatja az ellátottat a személyes tulajdonát képező tárgyai.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illetve mindennapi használati tárgyai használatában, kivéve a házirendben meghatározott azon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tárgyak körét, amelyek veszélyt jelenthetnek az intézményben élők testi épségére.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veszélyeztető tárgyak körét, ezen tárgyak birtoklásának feltételeit, illetve ellenőrzését a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házirend szabályozza. A korlátozás azonban nem érintheti a mindennapi használati tárgyakat.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5.2.2.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köteles gondoskodni az ellátást igénybe vevőnek az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 bevitt vagyontárgyainak, személyes tárgyainak és értékeinek megfelelő és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szükség esetén – biztonságos elhelyezéséről. Az intézmény a házirendben szabályozhatja –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figyelemmel a raktározási és elhelyezési lehetőségekre- hogy az egyes ellátást igénybe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vevők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milyen nagyságú, illetve milyen mennyiségű, az intézményi élethez szükséges, azzal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összefüggő személyes tárgy intézménybe történő bevitelére jogosultak. Ezen kívül a vagyon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és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értékmegőrzés nem korlátozható arra való hivatkozással, hogy az intézmény nem tud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megfelelő feltételeket kialakítani a megőrzésre.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 vagyontárgya vagy értéktárgya a megőrzés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szempontjából speciális feltételeket igényel, az intézmény köteles segítséget nyújtani az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ellátást igénybe vevő részére a megfelelő elhelyezéséhez, illetve annak igénybevételéhez vagy</w:t>
      </w:r>
      <w:r w:rsidR="00A81BB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eléréséhez, aminek költsége az ellátottat terheli.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5.2.3.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személyes szükséglet körébe tartozik különösen az intézményi ellátást meghaladó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mennyiségű vagy minőségű élelmezés, ruházat, valamint textília.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felsoroltakon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kívül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személyes szükségletek kielégítését szolgálja még a személyes használati tárgy (pl. televízió,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magnetofon, rádió, hűtőszekrény) és szolgáltatás (pl. fodrász, kirándulás, kulturális program)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is.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5.2.4.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érték- és vagyonmegőrzésre átvett tárgyak átvételének és kiadásának részletes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szabályait a házirend tartalmazza.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bCs/>
          <w:color w:val="000000"/>
          <w:sz w:val="28"/>
          <w:szCs w:val="28"/>
        </w:rPr>
        <w:t>6. Az ellátásért fizetendő térítési díj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személyes gondoskodást nyújtó ellátásért térítési díjat kell fizetni.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A térítési díjat az alábbi személyek kötelesek megfizetni: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jogosult,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szülői felügyeleti joggal rendelkező törvényes képviselő,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jogosultnak az a házastársa, élettársa,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egyeneságbeli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rokona, örökbe fogadott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gyermeke, örökbe fogadó szülője, akinek családjában az egy főre jutó jövedelem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tartási kötelezettség teljesítése mellett meghaladja az öregségi nyugdíj mindenkori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legkisebb összegének két és félszeresét,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tartását szerződésben vállaló személy,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jogosult tartására bíróság által kötelezett személy.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térítési díj a személyes gondoskodás körébe tartozó szociális ellátások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ellenértékekeként megállapított összeg. Az intézményi térítési díjat a fenntartó tárgyév április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1-jéig állapítja meg. Az intézményi térítési díj összege nem haladhatja meg a szolgáltatási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önköltséget.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térítési díj év közben egy alkalommal korrigálható. Az intézményi térítési díjat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integrált intézmény esetében is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szolgáltatásonként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kell meghatározni, ilyen esetben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önköltség számítása során a közös költségelemeket 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szolgáltatásonkénti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közvetlen költségek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arányában kell megosztani.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kötelezett által fizetendő térítési díj összegét (a továbbiakban: személyi térítési díj)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intézményvezető konkrét összegben állapítja meg, és arról az ellátást igénylőt a megállapodás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megkötésékor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írásban tájékoztatja. A személyi térítési díj nem haladhatja meg az intézményi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térítési díj összegét.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térítési díj felülvizsgálata során megállapított új személyi térítési díj megfizetésének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időpontjáról az intézmény fenntartója rendelkezik.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térítési díjat az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igénybe vétel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napjától havonként a tárgyhónapot követő hónap 10. napjáig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kell befizetni az intézmény részére. A térítési díjfizetési kötelezettséget az intézmény által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biztosított csekken vagy az intézmény számlájára átutalva kell teljesíteni.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 személyi térítési díj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Átmeneti intézményi ellátás esetén az intézményi ellátásért fizetendő személyi térítési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díj meghatározása során meg kell állapítani az ellátást igénylőre vonatkozó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jövedelemhányadot. A jövedelemhányad nem haladhatja meg az ellátott havi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jövedelmének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60%-át átmeneti elhelyezést nyújtó intézmények esetén.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Átmeneti intézményi ellátás esetén a személyi térítési díj az intézményi térítési díjjal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megegyező összeg, ha a jövedelemhányad eléri vagy meghaladja az intézményi térítési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díj összegét.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az intézményi ellátás nyújtásának megkezdését megelőzően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megvizsgálja az ellátást igénylő havi jövedelmét átmeneti elhelyezést nyújtó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esetén.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igénylő, az ellátott vagy a térítési díjat megfizető más személy, írásban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vállalhatja a mindenkori intézményi térítési díjjal azonos személyi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megfizetését. Ebben az esetben az Szt. 116.§ (1) és (3) bekezdésében, valamint az Szt.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117.§ -ban és a 117/A.§ (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1)-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(2) bekezdésében foglaltakat nem kell alkalmazni,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továbbá nem kell elvégezni az Szt. 119/C.§-a szerinti jövedelemvizsgálatot,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ugyanakkor biztosítani kell, hogy az ellátást ilyen módon igénylő érintett ne kerüljön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előnyösebb helyzetbe, mintha a vállalást ő vagy a térítési díjat megfizető más személy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nem tenné meg.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Költőpénz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bentlakásos intézményekben, jövedelemmel nem rendelkező 16 év fölötti ellátottak részére,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személyes szükségleteik fedezésére az intézmény költőpénzt biztosít. Költőpénzt kell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biztosítani annak az ellátottnak is, aki helyett a térítési díjat jövedelem hiányában kizárólag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tartásra köteles és képes személy fizeti, illetve a térítési díjat vagyona terhére állapították meg.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vagyonnal rendelkező ellátottnak költőpénzt állapítanak meg, a költőpénz terhelését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díjra vonatkozó szabályok szerint kell elrendelni.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költőpénz havi összege nem lehet kevesebb a tárgyév január 1-jén érvényes öregségi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nyugdíj legkisebb összegének 20%-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ánál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ha a térítési díjat úgy állapították meg, hogy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vagyont is terhel, 30%-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ánál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Legalább a költőpénz összegére kell kiegészíteni az ellátottnak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ezt az összeget el nem érő jövedelmét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Fentiek alapján az intézményvezető a fizetendő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személyi térítési díjat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(……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Ft/30 nap)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összegben állapítja meg, melynek megfizetése az alábbiak szerint történik (a kívánt rész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kitöltendő, illetve aláhúzandó):</w:t>
      </w:r>
    </w:p>
    <w:p w:rsidR="00873D78" w:rsidRPr="00E01EE6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 Ft/nap (……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Ft/hó) összegű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személyi térítési díjból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</w:t>
      </w:r>
      <w:r>
        <w:rPr>
          <w:rFonts w:ascii="TimesNewRomanPSMT" w:hAnsi="TimesNewRomanPSMT" w:cs="TimesNewRomanPSMT"/>
          <w:color w:val="000000"/>
          <w:sz w:val="24"/>
          <w:szCs w:val="24"/>
        </w:rPr>
        <w:t>Ft/nap (………Ft/30 nap) összeget az ellátást igénybe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 fizet meg a rendszeres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havi jövedelméből,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………………… Ft/nap (…………. Ft/30 nap) összeget 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tartására</w:t>
      </w:r>
      <w:r w:rsidR="00E01EE6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jogszabály, szerződés vagy bírósági határozat alapján köteles és képes személy(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fizet(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nek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meg az alábbiak szerint: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 Ft/nap (…………Ft/30nap) összeget: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(név)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Ft/nap (…………Ft/30nap) összeget: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……………………………………………………………………………………………(név)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lastRenderedPageBreak/>
        <w:t>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Ft/nap (…………Ft/30nap) összeget: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………………………………………………………………………………………</w:t>
      </w:r>
      <w:proofErr w:type="gramStart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(név)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Az intézményi térítési díj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jelen Megállapodás megkötése időpontjában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.Ft/nap, valamint ……………………….Ft/hó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térítési díj felülvizsgálata során megállapított új személyi térítési díj megfizetésének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időpontjáról az intézmény fenntartója rendelkezik.</w:t>
      </w:r>
    </w:p>
    <w:p w:rsidR="00E01EE6" w:rsidRDefault="00E01EE6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Távollét esetén fizetendő személyi térítési díj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által szervezett külső programokon (tábor, nyaralás stb.) való részvétel nem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minősül távollétnek,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Távollétnek minősül az a gondozási nap, melyen az ellátott nem tartózkodik az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intézményben. A távolléti napok éves szinten összesítésre kerülnek.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SymbolMT" w:eastAsia="SymbolMT" w:hAnsi="TimesNewRomanPSMT" w:cs="SymbolMT" w:hint="eastAsia"/>
          <w:color w:val="000000"/>
          <w:sz w:val="24"/>
          <w:szCs w:val="24"/>
        </w:rPr>
        <w:t></w:t>
      </w:r>
      <w:r>
        <w:rPr>
          <w:rFonts w:ascii="SymbolMT" w:eastAsia="SymbolMT" w:hAnsi="TimesNewRomanPSMT" w:cs="Symbol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Bentlakásos intézményben az ellátott két hónapot meg nem haladó távolléte idejére – 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rehabilitációs célú lakóotthoni ellátás kivételével- a távollét minden napjára a napi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személyi térítési díj 20 %-át kell fizetni. A távolléti napok naptári éves szinten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összesíthetők.</w:t>
      </w:r>
    </w:p>
    <w:p w:rsidR="00873D78" w:rsidRDefault="00E01EE6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z egészségügyi intézményben történő kezelésének időtartama alatt, a távollét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873D78">
        <w:rPr>
          <w:rFonts w:ascii="TimesNewRomanPSMT" w:hAnsi="TimesNewRomanPSMT" w:cs="TimesNewRomanPSMT"/>
          <w:color w:val="000000"/>
          <w:sz w:val="24"/>
          <w:szCs w:val="24"/>
        </w:rPr>
        <w:t>minden napjára a napi személyi térítési díj 40 %-át fizeti,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az „a” pont alá nem tartozó esetekben a távollét minden napjára a napi személyi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 60 %-át fizeti.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Jogorvoslat a személyi térítési díj megállapításával kapcsolatban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 térítési díj megfizetésére köteles személy a megállapított személyi térítési díj összegét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vitatja, az értesítés kézhezvételétől számított 8 napon belül a fenntartóhoz fordulhat.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fenntartó a kifogás beérkezésétől számított 15 munkanapon belül dönt a személyi térítési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díjjal kapcsolatos intézményvezetői döntés ellen benyújtott kifogásról.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az ellátást igénybe vevő vagy a térítési díjat megfizető személy a személyi térítési díjnak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intézmény fenntartója által megállapított összegét vitatja, a bíróságtól kérheti a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megállapítását. A bíróság jogerős határozatáig a korábban megállapított térítési díjat kell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megfizetni.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A díjfizetés elmulasztása esetén követendő eljárás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ellátott, a törvényes képviselője vagy a térítési díjat megfizető személy a térítési díj -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fizetési kötelezettségének nem tesz eleget, ha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hat hónapon át folyamatosan térítésdíj- tartozás áll fenn, és az a hatodik hónap utolsó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napján a kéthavi személyi térítési díj összegét meghaladja, és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- vagyoni, jövedelmi viszonyai lehetővé teszik a térítési díj megfizetését.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 vezetője ellenőrzi, hogy a megállapított térítési díj befizetése havonta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megtörténik-e. Ha a kötelezett a befizetést elmulasztotta, az intézményvezető 15 napos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határidő megjelölésével a fizetésre kötelezett személyt írásban felhívja az elmaradt térítési díj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befizetésére. Ha a határidő eredménytelenül telt el, az intézmény vezetője a kötelezett nevét,</w:t>
      </w:r>
      <w:r w:rsidR="00E01EE6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lakcímét és a fennálló díjhátralékot nyilvántartásba veszi.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Abban az esetben, ha a személyi térítési díj megfizetésére kötelezett személy, fizetési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kötelezettségének nem tesz eleget, az intézmény vezetője 15 napos határidő megjelölésével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fizetésre kötelezett személyt írásban felhívja az elmaradt térítési díj befizetésére. Ha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határidő eredménytelenül telik el, az intézmény vezetője a kötelezett nevét, lakcímét és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fennálló díjhátralékot nyilvántartásba veszi. (29/1993 (II.17.). Korm. rendelet 31.§)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az ellátott, a törvényes képviselője vagy a térítési díjat megfizető személy vagyoni,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jövedelmi viszonyai oly mértékben megváltoztak, hogy a személyi térítési díj megfizetésére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vonatkozó kötelezettségének nem tud eleget tenni, köteles az intézményvezetőnél rendkívüli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jövedelemvizsgálat lefolytatását kezdeményezni.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Az intézményvezető a jövedelemvizsgálatot a jogszabály előírásai szerint lefolytatja, és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személyi térítési díjat a jövedelemvizsgálat eredményének megfelelően állapítja meg.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Ha az ellátott, a törvényes képviselője vagy a térítési díjat megfizető személy nem kéri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Szt. 102.§ (2) bekezdés szerinti jövedelemvizsgálat lefolytatását, az Szt. 102.§. (1)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bekezdés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b) </w:t>
      </w:r>
      <w:r>
        <w:rPr>
          <w:rFonts w:ascii="TimesNewRomanPSMT" w:hAnsi="TimesNewRomanPSMT" w:cs="TimesNewRomanPSMT"/>
          <w:color w:val="000000"/>
          <w:sz w:val="24"/>
          <w:szCs w:val="24"/>
        </w:rPr>
        <w:t>pontja alkalmazásában úgy kell tekinteni, hogy vagyoni, jövedelmi viszonyai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lehetővé teszik a térítési díj megfizetését.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Ha három hónapon át térítésidíj-tartozás áll fenn, az ellátottat, a törvényes képviselőt vagy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térítési díjat megfizető személyt írásban tájékoztatni kell a felmondás lehetőségéről, annak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kezdő időpontjáról, valamint az Szt. 102. § (3) bekezdésben foglaltakról.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nyilvántartott díjhátralékról az intézmény vezetője negyedévenként tájékoztatja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fenntartóját a térítési díjhátralék behajtása vagy a behajthatatlan hátralék törlése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érdekében.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 személyi térítési díj és a befolyt térítési díj különbözetét az intézmény vezetője nyilvántartja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és az ellátást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igénybevevő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halála esetén hagyatéki teherként az eljáró közjegyzőnek bejelenti.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Amennyiben az ellátást igénybe vevő, illetve törvényes képviselője, továbbá más térítési díj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fizetésére kötelezett személy fizetési kötelezettségének nem tesz eleget, úgy a fenntartó –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jogszabályban meghatározott módon – intézkedik a térítési díjhátralék behajtása iránt.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Eseti térítési díj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Házirendben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meghatározott, az intézmény által nyújtott olyan szolgáltatásokért, amelyek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nem tartoznak az alapfeladatok körébe (pl. fodrász, kozmetika), valamint az intézmény által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szervezett szabadidős programokért (pl. kirándulás, színházlátogatás, tábor) eseti térítési díjat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kell fizetni.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7. A megállapodás módosítása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7.1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módosítására csak az intézmény vezetője és az ellátást igénybe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vevő/törvényes képviselője közös megegyezése alapján kerülhet sor.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7.2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Az intézmény vezetője – tekintettel arra, hogy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megkötésével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intézmény hosszú időre kötelezettséget vállal – kijelenti, hogy előre nem látható, rendkívüli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helyzetekben is minden elvárhatót megtesz, hogy az intézmény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ból fakadó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kötelezettségeit a lehető legjobban teljesítse.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 Felek kijelentik, hogy a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ból eredő vitás kérdéseket elsődlegesen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tárgyalás útján, egyezségre törekedve kívánják rendezni.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Tudomásul veszik, hogy a megállapodás módosítására a személyi térítési díj megállapítása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tekintetében az intézményvezető/fenntartó egyoldalúan jogosult.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Az ellátott és az ellátást biztosító megállapodnak abban, hogy e megállapodás az ellátott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egyoldalú nyilatkozatával írásban felmondhatja, ez esetben az intézményi jogviszony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kölcsönös megegyezés hiányában a felmondás benyújtásától számított 3. hónap végén szűnik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Felmondás esetén, nem képezi az elszámolás tárgyát, a használatra átvett eszközök,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berendezési tárgyak rendeltetésszerű használatával együtt járó amortizációja, a lakrész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újra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festésének, a rendeltetésszerű használatból adódó szükséges javítása elvégzésének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költsége, valamint az intézményi jogviszony megszűnéséhez kapcsolódó adminisztrációs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költség.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intézményi jogviszony megszűnésének szabályait a házirend tartalmazza.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8. Az ellátást igénylő személy személyes jognyilatkozata a megállapodás megkötését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megelőzően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Szt. 94/C.§ (1) bekezdése szerinti megállapodás megkötéséhez az ellátást igénylő személy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személyes jognyilatkozata szükséges, ha cselekvőképes vagy cselekvőképességében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szociális ellátások igénybevételével összefüggő jognyilatkozatok tekintetében részlegesen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korlátozott. A cselekvőképességet teljesen korlátozó gondnokság alatt álló személyt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megállapodás megkötését megelőzően meg kell hallgatni és véleményét a lehető legteljesebb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mértékben figyelembe kell venni.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Alulírott (név)……………………………………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szül.név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: ……………………………...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szül.helye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ideje: …………………………………anyja neve: …………………………....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nyilatkozom, hogy az Szt. 94/C.§ (1) bekezdése szerinti intézményi megállapodás megkötését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megelőzően meghallgattak, véleményemet a lehető legteljesebb mértékben figyelembe vették.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9. Befejező rendelkezések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Felek kijelentik, hogy a 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 feltüntetett valamennyi adat a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valóságnak megfelel.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10.2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ban nem szabályozott kérdésekben a Polgári Törvénykönyv,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továbbá a szociális ellátásokra vonatkozó, mindenkori hatályos jogszabályok rendelkezései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irányadóak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10.3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Megállapodás</w:t>
      </w:r>
      <w:r>
        <w:rPr>
          <w:rFonts w:ascii="TimesNewRomanPSMT" w:hAnsi="TimesNewRomanPSMT" w:cs="TimesNewRomanPSMT"/>
          <w:color w:val="000000"/>
          <w:sz w:val="24"/>
          <w:szCs w:val="24"/>
        </w:rPr>
        <w:t>, a mellékletekkel együtt 17 (tizenhét) számozott oldalból áll.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10.4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Jelen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Megállapodás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… db, egymással szó szerint megegyező eredeti példányban készült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10.5. </w:t>
      </w:r>
      <w:r>
        <w:rPr>
          <w:rFonts w:ascii="TimesNewRomanPSMT" w:hAnsi="TimesNewRomanPSMT" w:cs="TimesNewRomanPSMT"/>
          <w:color w:val="000000"/>
          <w:sz w:val="24"/>
          <w:szCs w:val="24"/>
        </w:rPr>
        <w:t>Jelen Megállapodást a Felek elolvasás és közös értelmezést követően, mint akaratukkal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mindenben megegyezőt,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helybenhagyólag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írták alá.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10.6. </w:t>
      </w:r>
      <w:r>
        <w:rPr>
          <w:rFonts w:ascii="TimesNewRomanPSMT" w:hAnsi="TimesNewRomanPSMT" w:cs="TimesNewRomanPSMT"/>
          <w:color w:val="000000"/>
          <w:sz w:val="24"/>
          <w:szCs w:val="24"/>
        </w:rPr>
        <w:t>A megállapodásban leírtak a mindenkori hatályos jogszabályoknak megfelelően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automatikusan módosulnak.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……………………, ............év ………………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.hó……….napján.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 ………………………………………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igénybe vevő az ellátást nyújtó intézmény vezetője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…………………………………….. 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Az ellátást igénylő törvényes képviselője az ellátást igénybe vevő jelen Megállapodás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1.4.pontjában megjelölt megnevezett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hozzátartozója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Tanú neve: 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Címe: 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aláírása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Tanú neve: …………………………………………………………….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Címe:…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………………………………………………..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aláírása</w:t>
      </w:r>
    </w:p>
    <w:p w:rsidR="004743B9" w:rsidRDefault="004743B9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4743B9" w:rsidRDefault="004743B9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számú melléklet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>NYILATKOZAT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Alulírott nyilatkozom, hogy az intézményi elhelyezés feltételeiről, körülményeiről kapott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tájékoztatást tudomásul vettem. Az intézmény házirendjét megismertem és magamra nézve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kötelezőnek fogadom el.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Kijelentem, hogy a mai napon a „Központi Elektronikus Nyilvántartás a Szolgáltatást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Igénybe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vevőkről” (KENYSZI) TAJ alapú országos adatbázisban történő adataim kezeléséről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tájékoztatást kaptam.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Alulírott hozzájárulok, hogy az intézmény igazgatója által megbízott személy helyettem az</w:t>
      </w:r>
      <w:r w:rsidR="001A4CF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24"/>
          <w:szCs w:val="24"/>
        </w:rPr>
        <w:t>orvosi vényeket aláírja, amellyel a gyógyszerátvételt igazolja.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Jelen hozzájárulásom visszavonásig érvényes.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Kelt: …………………………………….</w:t>
      </w:r>
    </w:p>
    <w:p w:rsidR="00873D78" w:rsidRDefault="00873D78" w:rsidP="006348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………………………………………..</w:t>
      </w:r>
    </w:p>
    <w:p w:rsidR="00625770" w:rsidRDefault="00873D78" w:rsidP="0063483A">
      <w:pPr>
        <w:jc w:val="both"/>
      </w:pPr>
      <w:r>
        <w:rPr>
          <w:rFonts w:ascii="TimesNewRomanPSMT" w:hAnsi="TimesNewRomanPSMT" w:cs="TimesNewRomanPSMT"/>
          <w:color w:val="000000"/>
          <w:sz w:val="24"/>
          <w:szCs w:val="24"/>
        </w:rPr>
        <w:t>Ellátott/ törvényes képviselője__</w:t>
      </w:r>
    </w:p>
    <w:sectPr w:rsidR="00625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New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8"/>
    <w:rsid w:val="00020FAB"/>
    <w:rsid w:val="001A4CF8"/>
    <w:rsid w:val="00446681"/>
    <w:rsid w:val="004743B9"/>
    <w:rsid w:val="00575CFA"/>
    <w:rsid w:val="00625770"/>
    <w:rsid w:val="0063483A"/>
    <w:rsid w:val="00794525"/>
    <w:rsid w:val="00873D78"/>
    <w:rsid w:val="00A81BBD"/>
    <w:rsid w:val="00E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DA2C"/>
  <w15:docId w15:val="{CE537F3B-8B8C-4A9F-A1A3-29F55B65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483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34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etenyi.maria@o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4112</Words>
  <Characters>28377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Veszprém Ördögárok u.</dc:creator>
  <cp:lastModifiedBy>Ekanemné Mógor Veronika</cp:lastModifiedBy>
  <cp:revision>4</cp:revision>
  <cp:lastPrinted>2018-04-25T08:37:00Z</cp:lastPrinted>
  <dcterms:created xsi:type="dcterms:W3CDTF">2018-11-21T10:49:00Z</dcterms:created>
  <dcterms:modified xsi:type="dcterms:W3CDTF">2018-11-21T11:12:00Z</dcterms:modified>
</cp:coreProperties>
</file>